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/>
        <w:jc w:val="both"/>
        <w:rPr>
          <w:rFonts w:cs="Arial"/>
          <w:b/>
          <w:b/>
          <w:i/>
          <w:i/>
          <w:sz w:val="26"/>
          <w:szCs w:val="26"/>
        </w:rPr>
      </w:pPr>
      <w:r>
        <w:rPr>
          <w:rFonts w:cs="Arial"/>
          <w:b/>
          <w:i/>
          <w:sz w:val="26"/>
          <w:szCs w:val="26"/>
        </w:rPr>
      </w:r>
    </w:p>
    <w:p>
      <w:pPr>
        <w:pStyle w:val="Normal"/>
        <w:spacing w:lineRule="exact" w:line="363"/>
        <w:jc w:val="both"/>
        <w:rPr/>
      </w:pPr>
      <w:r>
        <w:rPr>
          <w:rFonts w:cs="Arial"/>
          <w:b/>
          <w:i/>
          <w:sz w:val="26"/>
          <w:szCs w:val="26"/>
        </w:rPr>
        <w:t>HABEAS CORPUS</w:t>
      </w:r>
      <w:r>
        <w:rPr>
          <w:rFonts w:cs="Arial"/>
          <w:b/>
          <w:sz w:val="26"/>
          <w:szCs w:val="26"/>
        </w:rPr>
        <w:t xml:space="preserve"> 1003620.91.2023.4.06.0000</w:t>
      </w:r>
    </w:p>
    <w:p>
      <w:pPr>
        <w:pStyle w:val="Normal"/>
        <w:spacing w:lineRule="exact" w:line="363"/>
        <w:jc w:val="center"/>
        <w:rPr>
          <w:rFonts w:cs="Arial"/>
          <w:b/>
          <w:b/>
          <w:bCs/>
          <w:sz w:val="26"/>
          <w:szCs w:val="26"/>
        </w:rPr>
      </w:pPr>
      <w:r>
        <w:rPr>
          <w:rFonts w:cs="Arial"/>
          <w:b/>
          <w:bCs/>
          <w:sz w:val="26"/>
          <w:szCs w:val="26"/>
        </w:rPr>
      </w:r>
    </w:p>
    <w:p>
      <w:pPr>
        <w:pStyle w:val="Normal"/>
        <w:spacing w:lineRule="exact" w:line="363"/>
        <w:jc w:val="center"/>
        <w:rPr>
          <w:rFonts w:cs="Arial"/>
          <w:b/>
          <w:b/>
          <w:bCs/>
          <w:sz w:val="26"/>
          <w:szCs w:val="26"/>
        </w:rPr>
      </w:pPr>
      <w:r>
        <w:rPr>
          <w:rFonts w:cs="Arial"/>
          <w:b/>
          <w:bCs/>
          <w:sz w:val="26"/>
          <w:szCs w:val="26"/>
        </w:rPr>
      </w:r>
    </w:p>
    <w:p>
      <w:pPr>
        <w:pStyle w:val="Normal"/>
        <w:spacing w:lineRule="exact" w:line="363"/>
        <w:jc w:val="center"/>
        <w:rPr/>
      </w:pPr>
      <w:r>
        <w:rPr>
          <w:rFonts w:cs="Arial"/>
          <w:b/>
          <w:bCs/>
          <w:sz w:val="26"/>
          <w:szCs w:val="26"/>
        </w:rPr>
        <w:t>DECISÃO</w:t>
      </w:r>
    </w:p>
    <w:p>
      <w:pPr>
        <w:pStyle w:val="Normal"/>
        <w:spacing w:lineRule="exact" w:line="363"/>
        <w:jc w:val="center"/>
        <w:rPr>
          <w:rFonts w:cs="Arial"/>
          <w:color w:val="000000"/>
        </w:rPr>
      </w:pPr>
      <w:r>
        <w:rPr>
          <w:rFonts w:cs="Arial"/>
          <w:color w:val="000000"/>
        </w:rPr>
      </w:r>
    </w:p>
    <w:p>
      <w:pPr>
        <w:pStyle w:val="Normal"/>
        <w:spacing w:lineRule="exact" w:line="363"/>
        <w:jc w:val="center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  <w:t>Lázaro Samuel Gonçalves Guilherme e Bárbara Hortência Gonçalves Dias impetraram o presente Habeas Corpus, com pedido de liminar, em favor de WALLACE RONNE ALVES FERREIRA, contra ato supostamente ilegal do juízo Federal da Subseção Judiciária de Teófilo Otoni-MG, cometido em autos de Exceção de Incompetência.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  <w:t>Narraram os impetrantes que o paciente foi denunciado, nos autos da ação penal nº1001921-09.2020.4.01.3816, pelos delitos previstos nos artigos 168 (por 49 vezes), 171, §4º (por 4 vezes) e 288, todos do Código Penal, bem como no artigo 59 da Lei 6.001/73 e no artigo 104 da Lei 10.741/2033 (por duas vezes), por ter, em tese, se apropriado de bens alheios móveis, de indígenas da região, entre os anos de 2018 e 2020.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/>
      </w:pPr>
      <w:r>
        <w:rPr>
          <w:rFonts w:cs="Arial" w:ascii="Times New Roman" w:hAnsi="Times New Roman"/>
          <w:szCs w:val="26"/>
        </w:rPr>
        <w:t xml:space="preserve">Afirmaram que os crimes a ele imputados são patrimoniais e que em nada se relacionam com a organização social do índio, seu costume, língua, crenças e tradições, razão pela qual a Justiça Federal seria absolutamente incompetente para o processamento e julgamento do feito, a teor do enunciado 140 da Súmula do Superior Tribunal de Justiça. 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/>
      </w:pPr>
      <w:r>
        <w:rPr>
          <w:rFonts w:cs="Arial" w:ascii="Times New Roman" w:hAnsi="Times New Roman"/>
          <w:szCs w:val="26"/>
        </w:rPr>
        <w:t xml:space="preserve">Alegaram existência de ilegalidade na decisão do juízo de primeira instância, ao indeferir a exceção de incompetência interposta pela defesa do paciente e ausência de recurso específico, no ordenamento jurídico, para impugnar o referido indeferimento, motivo da impetração da ação constitucional. 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/>
      </w:pPr>
      <w:r>
        <w:rPr>
          <w:rFonts w:cs="Arial" w:ascii="Times New Roman" w:hAnsi="Times New Roman"/>
          <w:szCs w:val="26"/>
        </w:rPr>
        <w:t>Requereram, em sede de liminar, a suspensão da ação penal nº 1001921-09.2020.4.01.3816 e, no mérito, a concessão da ordem para declarar o juízo da SSJ de Teófilo Otoni absolutamente incompetente para o processamento e julgamento do feito, reconhecendo a ausência de disputa por direito indígena nos fatos narrados.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/>
      </w:pPr>
      <w:r>
        <w:rPr>
          <w:rFonts w:cs="Arial" w:ascii="Times New Roman" w:hAnsi="Times New Roman"/>
          <w:szCs w:val="26"/>
        </w:rPr>
        <w:t>Juntaram documentos.</w:t>
      </w:r>
    </w:p>
    <w:p>
      <w:pPr>
        <w:pStyle w:val="Identificao"/>
        <w:spacing w:lineRule="exact" w:line="363"/>
        <w:ind w:left="0" w:hanging="0"/>
        <w:rPr>
          <w:rFonts w:cs="Arial"/>
        </w:rPr>
      </w:pPr>
      <w:r>
        <w:rPr>
          <w:rFonts w:cs="Arial"/>
        </w:rPr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  <w:t>É o relatório, no que interessa ao exame do pedido.</w:t>
      </w:r>
    </w:p>
    <w:p>
      <w:pPr>
        <w:pStyle w:val="Identificao"/>
        <w:spacing w:lineRule="exact" w:line="363"/>
        <w:ind w:left="0" w:hanging="0"/>
        <w:rPr>
          <w:rFonts w:cs="Arial"/>
          <w:b/>
          <w:b/>
          <w:bCs/>
        </w:rPr>
      </w:pPr>
      <w:r>
        <w:rPr>
          <w:rFonts w:cs="Arial"/>
          <w:b/>
          <w:bCs/>
        </w:rPr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b/>
          <w:b/>
          <w:bCs/>
          <w:szCs w:val="26"/>
        </w:rPr>
      </w:pPr>
      <w:r>
        <w:rPr>
          <w:rFonts w:cs="Arial" w:ascii="Times New Roman" w:hAnsi="Times New Roman"/>
          <w:b/>
          <w:bCs/>
          <w:szCs w:val="26"/>
        </w:rPr>
        <w:t>Decido.</w:t>
      </w:r>
    </w:p>
    <w:p>
      <w:pPr>
        <w:pStyle w:val="Identificao"/>
        <w:spacing w:lineRule="exact" w:line="363"/>
        <w:ind w:left="0" w:hanging="0"/>
        <w:rPr>
          <w:rFonts w:cs="Arial"/>
        </w:rPr>
      </w:pPr>
      <w:r>
        <w:rPr>
          <w:rFonts w:cs="Arial"/>
        </w:rPr>
      </w:r>
    </w:p>
    <w:p>
      <w:pPr>
        <w:pStyle w:val="Identificao"/>
        <w:spacing w:lineRule="exact" w:line="363"/>
        <w:ind w:left="0" w:hanging="0"/>
        <w:rPr/>
      </w:pPr>
      <w:r>
        <w:rPr>
          <w:rFonts w:cs="Arial" w:ascii="Times New Roman" w:hAnsi="Times New Roman"/>
          <w:szCs w:val="26"/>
        </w:rPr>
        <w:t xml:space="preserve">Analisando os fatos apresentados pelos impetrantes e os documentos que instruíram a inicial, observo, desde já, que não há como acolher o pedido. </w:t>
      </w:r>
    </w:p>
    <w:p>
      <w:pPr>
        <w:pStyle w:val="NormalWeb"/>
        <w:spacing w:lineRule="exact" w:line="360"/>
        <w:jc w:val="both"/>
        <w:rPr/>
      </w:pPr>
      <w:r>
        <w:rPr>
          <w:rFonts w:cs="Arial"/>
          <w:color w:val="000000"/>
          <w:sz w:val="26"/>
          <w:szCs w:val="26"/>
        </w:rPr>
        <w:t xml:space="preserve">Nos termos do art. 5º, LXVIII, da Constituição Federal de 1988, o </w:t>
      </w:r>
      <w:r>
        <w:rPr>
          <w:rFonts w:cs="Arial"/>
          <w:i/>
          <w:iCs/>
          <w:color w:val="000000"/>
          <w:sz w:val="26"/>
          <w:szCs w:val="26"/>
        </w:rPr>
        <w:t>habeas corpus</w:t>
      </w:r>
      <w:r>
        <w:rPr>
          <w:rFonts w:cs="Arial"/>
          <w:color w:val="000000"/>
          <w:sz w:val="26"/>
          <w:szCs w:val="26"/>
        </w:rPr>
        <w:t xml:space="preserve"> será concedido </w:t>
      </w:r>
      <w:r>
        <w:rPr>
          <w:rFonts w:cs="Arial"/>
          <w:i/>
          <w:iCs/>
          <w:color w:val="000000"/>
          <w:sz w:val="26"/>
          <w:szCs w:val="26"/>
        </w:rPr>
        <w:t>sempre que alguém sofrer ou se achar ameaçado de sofrer violência ou coação em sua liberdade de locomoção, por ilegalidade ou abuso de poder</w:t>
      </w:r>
      <w:r>
        <w:rPr>
          <w:rFonts w:cs="Arial"/>
          <w:color w:val="000000"/>
          <w:sz w:val="26"/>
          <w:szCs w:val="26"/>
        </w:rPr>
        <w:t>.</w:t>
      </w:r>
    </w:p>
    <w:p>
      <w:pPr>
        <w:pStyle w:val="NormalWeb"/>
        <w:spacing w:lineRule="exact" w:line="360"/>
        <w:jc w:val="both"/>
        <w:rPr>
          <w:rFonts w:cs="Arial"/>
          <w:color w:val="000000"/>
          <w:sz w:val="26"/>
          <w:szCs w:val="26"/>
        </w:rPr>
      </w:pPr>
      <w:r>
        <w:rPr>
          <w:rFonts w:cs="Arial"/>
          <w:color w:val="000000"/>
          <w:sz w:val="26"/>
          <w:szCs w:val="26"/>
        </w:rPr>
        <w:t xml:space="preserve">Trata-se de ação de impugnação constitucional, com pressuposto específico de admissibilidade, consistente na demonstração </w:t>
      </w:r>
      <w:r>
        <w:rPr>
          <w:rFonts w:cs="Arial"/>
          <w:i/>
          <w:iCs/>
          <w:color w:val="000000"/>
          <w:sz w:val="26"/>
          <w:szCs w:val="26"/>
        </w:rPr>
        <w:t>prima facie</w:t>
      </w:r>
      <w:r>
        <w:rPr>
          <w:rFonts w:cs="Arial"/>
          <w:color w:val="000000"/>
          <w:sz w:val="26"/>
          <w:szCs w:val="26"/>
        </w:rPr>
        <w:t xml:space="preserve"> de violência atual ou iminente, qualificada por ilegalidade ou abuso de poder, que repercuta, mediata ou imediatamente, no direito à livre locomoção. Erigida à categoria de direito fundamental, a liberdade não pode sofrer quaisquer limitações ou restrições fora das hipóteses legais. </w:t>
      </w:r>
    </w:p>
    <w:p>
      <w:pPr>
        <w:pStyle w:val="NormalWeb"/>
        <w:spacing w:lineRule="exact" w:line="360"/>
        <w:jc w:val="both"/>
        <w:rPr>
          <w:rFonts w:cs="Arial"/>
          <w:color w:val="000000"/>
          <w:sz w:val="26"/>
          <w:szCs w:val="26"/>
        </w:rPr>
      </w:pPr>
      <w:r>
        <w:rPr>
          <w:rFonts w:cs="Arial"/>
          <w:color w:val="000000"/>
          <w:sz w:val="26"/>
          <w:szCs w:val="26"/>
        </w:rPr>
        <w:t>Diante da ausência de previsão legal para recurso contra decisão que rejeita exceção de incompetência, doutrina e jurisprudência admitem o seu ajuizamento com o fim de evitar o processamento e julgamento de ação penal por juízo incompetente.</w:t>
      </w:r>
    </w:p>
    <w:p>
      <w:pPr>
        <w:pStyle w:val="NormalWeb"/>
        <w:spacing w:lineRule="exact" w:line="360"/>
        <w:jc w:val="both"/>
        <w:rPr>
          <w:rFonts w:cs="Arial"/>
          <w:color w:val="000000"/>
          <w:sz w:val="26"/>
          <w:szCs w:val="26"/>
        </w:rPr>
      </w:pPr>
      <w:r>
        <w:rPr>
          <w:rFonts w:cs="Arial"/>
          <w:color w:val="000000"/>
          <w:sz w:val="26"/>
          <w:szCs w:val="26"/>
        </w:rPr>
        <w:t xml:space="preserve">Para que o </w:t>
      </w:r>
      <w:r>
        <w:rPr>
          <w:rFonts w:cs="Arial"/>
          <w:i/>
          <w:iCs/>
          <w:color w:val="000000"/>
          <w:sz w:val="26"/>
          <w:szCs w:val="26"/>
        </w:rPr>
        <w:t>habeas corpus</w:t>
      </w:r>
      <w:r>
        <w:rPr>
          <w:rFonts w:cs="Arial"/>
          <w:color w:val="000000"/>
          <w:sz w:val="26"/>
          <w:szCs w:val="26"/>
        </w:rPr>
        <w:t xml:space="preserve"> seja concedido, no entanto, em que pese o alargamento do seu campo de abrangência, dado, principalmente, pelos Tribunais Superiores, devem ser apontados, pelo impetrante, de forma objetiva e consistente, atos que retratem a existência de coação ou de ameaça iminente à liberdade de locomoção do paciente. </w:t>
      </w:r>
    </w:p>
    <w:p>
      <w:pPr>
        <w:pStyle w:val="Identificao"/>
        <w:spacing w:lineRule="exact" w:line="360"/>
        <w:ind w:left="0" w:hanging="0"/>
        <w:rPr/>
      </w:pPr>
      <w:r>
        <w:rPr>
          <w:rFonts w:cs="Arial" w:ascii="Times New Roman" w:hAnsi="Times New Roman"/>
          <w:szCs w:val="26"/>
        </w:rPr>
        <w:t xml:space="preserve">A concessão de liminar exige, ainda, a demonstração da presença simultânea dos requisitos do </w:t>
      </w:r>
      <w:r>
        <w:rPr>
          <w:rFonts w:cs="Arial" w:ascii="Times New Roman" w:hAnsi="Times New Roman"/>
          <w:i/>
          <w:iCs/>
          <w:szCs w:val="26"/>
        </w:rPr>
        <w:t>fumus boni iuris</w:t>
      </w:r>
      <w:r>
        <w:rPr>
          <w:rFonts w:cs="Arial" w:ascii="Times New Roman" w:hAnsi="Times New Roman"/>
          <w:szCs w:val="26"/>
        </w:rPr>
        <w:t xml:space="preserve"> e do </w:t>
      </w:r>
      <w:r>
        <w:rPr>
          <w:rFonts w:cs="Arial" w:ascii="Times New Roman" w:hAnsi="Times New Roman"/>
          <w:i/>
          <w:iCs/>
          <w:szCs w:val="26"/>
        </w:rPr>
        <w:t xml:space="preserve">periculum in mora. </w:t>
      </w:r>
      <w:r>
        <w:rPr>
          <w:rFonts w:cs="Arial" w:ascii="Times New Roman" w:hAnsi="Times New Roman"/>
          <w:szCs w:val="26"/>
        </w:rPr>
        <w:t>O primeiro consiste na plausibilidade do direito alegado. O segundo, por seu turno, representa o receio de que a demora da decisão judicial cause um dano grave ou de difícil reparação ao bem jurídico tutelado.</w:t>
      </w:r>
    </w:p>
    <w:p>
      <w:pPr>
        <w:pStyle w:val="Normal"/>
        <w:spacing w:lineRule="exact" w:line="36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</w:r>
    </w:p>
    <w:p>
      <w:pPr>
        <w:pStyle w:val="Identificao"/>
        <w:spacing w:lineRule="exact" w:line="360"/>
        <w:ind w:left="0" w:hanging="0"/>
        <w:rPr/>
      </w:pPr>
      <w:r>
        <w:rPr>
          <w:rFonts w:cs="Arial" w:ascii="Times New Roman" w:hAnsi="Times New Roman"/>
          <w:szCs w:val="26"/>
        </w:rPr>
        <w:t xml:space="preserve">O deferimento do pedido configura, assim, medida de caráter excepcional, cabível apenas quando a decisão impugnada estiver eivada de ilegalidade flagrante, demonstrada de plano </w:t>
      </w:r>
      <w:r>
        <w:rPr>
          <w:rFonts w:cs="Arial" w:ascii="Times New Roman" w:hAnsi="Times New Roman"/>
          <w:i/>
          <w:iCs/>
          <w:szCs w:val="26"/>
        </w:rPr>
        <w:t>(HC 398609/SP, Sexta Turma, Rel. Ministro Sebastião Reis Júnior, DJe de 12/05/2017)</w:t>
      </w:r>
      <w:r>
        <w:rPr>
          <w:rFonts w:cs="Arial" w:ascii="Times New Roman" w:hAnsi="Times New Roman"/>
          <w:szCs w:val="26"/>
        </w:rPr>
        <w:t>.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/>
      </w:pPr>
      <w:r>
        <w:rPr>
          <w:rFonts w:cs="Arial" w:ascii="Times New Roman" w:hAnsi="Times New Roman"/>
          <w:szCs w:val="26"/>
        </w:rPr>
        <w:t xml:space="preserve">No presente caso, os impetrantes descreveram como ato ilegal e abusivo o indeferimento, pelo juízo </w:t>
      </w:r>
      <w:r>
        <w:rPr>
          <w:rFonts w:cs="Arial" w:ascii="Times New Roman" w:hAnsi="Times New Roman"/>
          <w:i/>
          <w:iCs/>
          <w:szCs w:val="26"/>
        </w:rPr>
        <w:t>a quo</w:t>
      </w:r>
      <w:r>
        <w:rPr>
          <w:rFonts w:cs="Arial" w:ascii="Times New Roman" w:hAnsi="Times New Roman"/>
          <w:szCs w:val="26"/>
        </w:rPr>
        <w:t xml:space="preserve">, do pedido de declaração da sua incompetência absoluta para o processamento e julgamento de ação penal, que possui como vítimas diversos indígenas da comunidade Maxacali, por entender que a questão teria tomado contornos transindividuais. 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  <w:t xml:space="preserve">Transcrevo, por oportuno, o trecho da decisão judicial, contendo o suposto ato coator impugnado, anexada com a documentação que instruiu a inicial: </w:t>
      </w:r>
    </w:p>
    <w:p>
      <w:pPr>
        <w:pStyle w:val="Identificao"/>
        <w:spacing w:lineRule="exact" w:line="360"/>
        <w:ind w:left="0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</w:r>
    </w:p>
    <w:p>
      <w:pPr>
        <w:pStyle w:val="Identificao"/>
        <w:spacing w:lineRule="exact" w:line="360"/>
        <w:ind w:left="1134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  <w:t>“</w:t>
      </w:r>
      <w:r>
        <w:rPr>
          <w:rFonts w:cs="Arial" w:ascii="Times New Roman" w:hAnsi="Times New Roman"/>
          <w:i/>
          <w:iCs/>
          <w:szCs w:val="26"/>
        </w:rPr>
        <w:t>Nesse linde, o pano de fundo da denúncia é relativa a alegada retenção de cartões magnéticos bancários de indígenas, impactando sobremaneira a vivência da comunidade indígenas de Santa Helena de Minas, direcionando a suposta atividade ilícita contra a comunidade pela vulnerabilidade social que ostenta. O STJ, no Conflito de Competência n. 156.502-RR, relatoria do Ministro Reynaldo Soares da Fonseca, assentou que “[...] não se aplica o enunciado n. 140 da Súmula do STJ quando o crime envolvendo direitos indígenas implicar em ofensa a interesses coletivos da comunidade indígena”, sendo este, a meu sentir, o caso dos autos.</w:t>
      </w:r>
    </w:p>
    <w:p>
      <w:pPr>
        <w:pStyle w:val="Identificao"/>
        <w:spacing w:lineRule="exact" w:line="360"/>
        <w:ind w:left="1134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</w:r>
    </w:p>
    <w:p>
      <w:pPr>
        <w:pStyle w:val="Identificao"/>
        <w:spacing w:lineRule="exact" w:line="360"/>
        <w:ind w:left="1134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  <w:t xml:space="preserve">Foram diversas vítimas indígenas, alçando a questão a contornos transindividuais, por supostamente retirar, não apenas de um indígena, mas, repiso, vários, direitos sociais deferidos para tutela da comunidade Maxacali. Conforme anota o MPF, </w:t>
      </w:r>
    </w:p>
    <w:p>
      <w:pPr>
        <w:pStyle w:val="Identificao"/>
        <w:spacing w:lineRule="exact" w:line="360"/>
        <w:ind w:left="1134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</w:r>
    </w:p>
    <w:p>
      <w:pPr>
        <w:pStyle w:val="Identificao"/>
        <w:spacing w:lineRule="exact" w:line="360"/>
        <w:ind w:left="1701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  <w:t>“</w:t>
      </w:r>
      <w:r>
        <w:rPr>
          <w:rFonts w:cs="Arial" w:ascii="Times New Roman" w:hAnsi="Times New Roman"/>
          <w:i/>
          <w:iCs/>
          <w:szCs w:val="26"/>
        </w:rPr>
        <w:t>[...] A título exemplificativo e tratando apenas do excipiente WALLACE RONNE ALVES FERREIRA, conforme narrado na denúncia, este incidiu 49 (quarenta e nove) vezes no crime dos artigos 168 c/c 71, ambos do CP, c/c artigo 59 da Lei nº 6.001/73, em razão da apropriação indébita dos cartões de indígenas (Autos principais - ID 1307206877 - Pág. 76).</w:t>
      </w:r>
    </w:p>
    <w:p>
      <w:pPr>
        <w:pStyle w:val="Identificao"/>
        <w:spacing w:lineRule="exact" w:line="360"/>
        <w:ind w:left="1701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</w:r>
    </w:p>
    <w:p>
      <w:pPr>
        <w:pStyle w:val="Identificao"/>
        <w:spacing w:lineRule="exact" w:line="360"/>
        <w:ind w:left="1701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  <w:t>Além disso, reteve 2 cartões magnéticos de contas bancárias relativos a benefícios, proventos ou pensão de indígenas idosos, com objetivo de assegurar recebimento ou ressarcimento de dívida (artigo 104 da Lei nº 10.741/2003 c/c artigo 59 da Lei nº 6.001/73 c/c artigo 71 do CP) (Autos principais - ID 1284907357 - Pág. 85).</w:t>
      </w:r>
    </w:p>
    <w:p>
      <w:pPr>
        <w:pStyle w:val="Identificao"/>
        <w:spacing w:lineRule="exact" w:line="360"/>
        <w:ind w:left="1701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</w:r>
    </w:p>
    <w:p>
      <w:pPr>
        <w:pStyle w:val="Identificao"/>
        <w:spacing w:lineRule="exact" w:line="360"/>
        <w:ind w:left="1701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  <w:t xml:space="preserve">Ainda, segundo a denúncia, o excipiente obteve para si, por quatro vezes, respectivamente, as vantagens ilícitas de R$ 1.000,00, R$ 1.435,00, R$ 983,00 e de R$ 1.045,00, em prejuízo da indígena idosa Rita Maxakali, mantendo-a em erro mediante fraude, consistente em se aproveitar da condição de notória vulnerabilidade de indígena não versada nos costumes da sociedade envolvente para a obtenção dos mencionados proveitos econômicos (Autos principais - ID 1284907357 - Pág. 88). </w:t>
      </w:r>
    </w:p>
    <w:p>
      <w:pPr>
        <w:pStyle w:val="Identificao"/>
        <w:spacing w:lineRule="exact" w:line="360"/>
        <w:ind w:left="1701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</w:r>
    </w:p>
    <w:p>
      <w:pPr>
        <w:pStyle w:val="Identificao"/>
        <w:spacing w:lineRule="exact" w:line="360"/>
        <w:ind w:left="1701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  <w:t>Pela análise da peça acusatória, percebe-se que os crimes tratados na denúncia lesaram de modo significativo toda a comunidade indígena Maxakali e, em especial, o direito constitucional desse Povo à organização social e aos costumes e tradições (Art. 231 da Constituição Federal).</w:t>
      </w:r>
    </w:p>
    <w:p>
      <w:pPr>
        <w:pStyle w:val="Identificao"/>
        <w:spacing w:lineRule="exact" w:line="360"/>
        <w:ind w:left="1701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</w:r>
    </w:p>
    <w:p>
      <w:pPr>
        <w:pStyle w:val="Identificao"/>
        <w:spacing w:lineRule="exact" w:line="360"/>
        <w:ind w:left="1701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  <w:t>Corroborando a presente argumentação, cumpre destacar o relatado pela Funai no Ofício nº 63/2018, datado de 19/03/2018: “Salientamos que tal prática exercida por esses comerciantes vem trazendo à Comunidade Indígena Maxakali sérios transtornos de ordem social e psicológica, que gera o desequilíbrio nas relações entre grupos familiares, que acaba afetando a comunidade com um todo e agravando ainda mais o quadro de desigualdade social vivido por esse povo indígena” (Autos principais - ID 1284907357 - Pág. 39). [...]”.</w:t>
      </w:r>
    </w:p>
    <w:p>
      <w:pPr>
        <w:pStyle w:val="Identificao"/>
        <w:spacing w:lineRule="exact" w:line="360"/>
        <w:ind w:left="1134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</w:r>
    </w:p>
    <w:p>
      <w:pPr>
        <w:pStyle w:val="Identificao"/>
        <w:spacing w:lineRule="exact" w:line="360"/>
        <w:ind w:left="1134" w:hanging="0"/>
        <w:rPr>
          <w:rFonts w:ascii="Times New Roman" w:hAnsi="Times New Roman" w:cs="Arial"/>
          <w:i/>
          <w:i/>
          <w:iCs/>
          <w:szCs w:val="26"/>
        </w:rPr>
      </w:pPr>
      <w:r>
        <w:rPr>
          <w:rFonts w:cs="Arial" w:ascii="Times New Roman" w:hAnsi="Times New Roman"/>
          <w:i/>
          <w:iCs/>
          <w:szCs w:val="26"/>
        </w:rPr>
        <w:t>Dessa feita, reconheço a competência da Justiça Federal em Teófilo Otoni/MG e rejeito a presente exceção de incompetência.”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  <w:t>Observo, no caso, que a decisão foi devidamente fundamentada, amparada não só por elementos de prova que subsidiaram a ação penal n. 1001921-09.2020.4.01.3816, como, também, pela doutrina e pela jurisprudência. Por essa razão, não vislumbro, a princípio, no indeferimento do juízo de primeira instância, qualquer ilegalidade ou coação à liberdade do paciente.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  <w:t xml:space="preserve">Pelo contrário, parece-me clara a competência da Justiça Federal na espécie. A hipótese do art. 109, XI, da Constituição exige a demonstração de que o caso afeta direitos indígenas, que são aqueles relacionados à própria condição de existência desses povos originários e das pessoas que os compõem. </w:t>
      </w:r>
      <w:bookmarkStart w:id="0" w:name="__DdeLink__153_1897551069"/>
      <w:r>
        <w:rPr>
          <w:rFonts w:cs="Arial" w:ascii="Times New Roman" w:hAnsi="Times New Roman"/>
          <w:szCs w:val="26"/>
        </w:rPr>
        <w:t>No caso, fica translúcida essa circunstância, dado que os cartões foram retidos de quarenta e nove pessoas indígenas. A se admitir a tese da impetração, seria necessário concluir que a condição indígena das vítimas seria mera coincidência e que, portanto, o delito teria sido praticado independentemente desse fato.</w:t>
      </w:r>
      <w:bookmarkEnd w:id="0"/>
      <w:r>
        <w:rPr>
          <w:rFonts w:cs="Arial" w:ascii="Times New Roman" w:hAnsi="Times New Roman"/>
          <w:szCs w:val="26"/>
        </w:rPr>
        <w:t xml:space="preserve"> 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  <w:t>As circunstâncias da prática do crime, no entanto, levam à conclusão oposta. Essas pessoas são vítimas do crime precisamente por serem indígenas e precisamente porque essa circunstância as coloca em situação de vulnerabilidade social que facilita a consumação do fato criminoso. Em sede acadêmica, já tive oportunidade de afirmar: “</w:t>
      </w:r>
      <w:r>
        <w:rPr>
          <w:rFonts w:ascii="Times New Roman" w:hAnsi="Times New Roman"/>
        </w:rPr>
        <w:t xml:space="preserve">Fora isso, tratando-se de um crime isolado, com outro tipo de motivação, que não a disputa de direitos indígenas, sem relação, portanto, com a condição de índio do autor ou da vítima, o julgamento do crime será julgado pela justiça estadual” (VITORELLI, Edilson. Estatuto do Índio. 4.ed. Salvador: Juspodivm, 2019, p. 357). Nesse caso, a condição indígena das diversas vítimas, fator compartilhado entre elas, evidencia a incidência da competência federal para o processamento e julgamento da causa. 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  <w:t xml:space="preserve">Sem fazer juízo de mérito sobre o presente caso, cumpre ressaltar que é de conhecimento geral, em Minas Gerais, a situação de grave violação de direitos na qual vivem, há décadas, as comunidades indígenas Maxacali. Conquanto haja esforços de diversas entidades e autoridades para a reversão desse quadro, a dura realidade é que ele insiste em permanecer inalterado. Situações de alcoolismo, violência, cooptação e vitimização pelo crime são acontecimentos que comprometem a sobrevivência do povo originário que, dentre os ainda existentes em Minas Gerais, mais preserva as suas instituições culturais, sua língua e seu modo de vida. Minas Gerais deve estar atenta para que aqui não se repita o triste cenário que hoje se abate sobre os povos Yanomami. 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/>
      </w:pPr>
      <w:r>
        <w:rPr>
          <w:rFonts w:cs="Arial" w:ascii="Times New Roman" w:hAnsi="Times New Roman"/>
          <w:szCs w:val="26"/>
        </w:rPr>
        <w:t xml:space="preserve">Ante o exposto, nos termos do art. 22,I do Regimento Interno do Tribunal Regional Federal da 6ª Região, </w:t>
      </w:r>
      <w:r>
        <w:rPr>
          <w:rFonts w:cs="Arial" w:ascii="Times New Roman" w:hAnsi="Times New Roman"/>
          <w:b/>
          <w:bCs/>
          <w:szCs w:val="26"/>
        </w:rPr>
        <w:t>DENEGO</w:t>
      </w:r>
      <w:r>
        <w:rPr>
          <w:rFonts w:cs="Arial" w:ascii="Times New Roman" w:hAnsi="Times New Roman"/>
          <w:szCs w:val="26"/>
        </w:rPr>
        <w:t xml:space="preserve"> a ordem de </w:t>
      </w:r>
      <w:r>
        <w:rPr>
          <w:rFonts w:cs="Arial" w:ascii="Times New Roman" w:hAnsi="Times New Roman"/>
          <w:i/>
          <w:iCs/>
          <w:szCs w:val="26"/>
        </w:rPr>
        <w:t>habeas corpus</w:t>
      </w:r>
      <w:r>
        <w:rPr>
          <w:rFonts w:cs="Arial" w:ascii="Times New Roman" w:hAnsi="Times New Roman"/>
          <w:szCs w:val="26"/>
        </w:rPr>
        <w:t xml:space="preserve">. 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Normal"/>
        <w:spacing w:lineRule="exact" w:line="363"/>
        <w:jc w:val="both"/>
        <w:rPr/>
      </w:pPr>
      <w:r>
        <w:rPr>
          <w:rFonts w:cs="Arial"/>
          <w:sz w:val="26"/>
          <w:szCs w:val="26"/>
        </w:rPr>
        <w:t xml:space="preserve">Efetuadas as devidas comunicações e transcorridos os prazos, determino o </w:t>
      </w:r>
      <w:r>
        <w:rPr>
          <w:rFonts w:cs="Arial"/>
          <w:b/>
          <w:bCs/>
          <w:sz w:val="26"/>
          <w:szCs w:val="26"/>
        </w:rPr>
        <w:t>arquivamento</w:t>
      </w:r>
      <w:r>
        <w:rPr>
          <w:rFonts w:cs="Arial"/>
          <w:sz w:val="26"/>
          <w:szCs w:val="26"/>
        </w:rPr>
        <w:t xml:space="preserve"> dos autos com as baixas pertinentes.</w:t>
      </w:r>
    </w:p>
    <w:p>
      <w:pPr>
        <w:pStyle w:val="Normal"/>
        <w:spacing w:lineRule="exact" w:line="363"/>
        <w:jc w:val="both"/>
        <w:rPr>
          <w:rFonts w:cs="Arial"/>
        </w:rPr>
      </w:pPr>
      <w:r>
        <w:rPr>
          <w:rFonts w:cs="Arial"/>
        </w:rPr>
      </w:r>
    </w:p>
    <w:p>
      <w:pPr>
        <w:pStyle w:val="Normal"/>
        <w:spacing w:lineRule="exact" w:line="363"/>
        <w:jc w:val="both"/>
        <w:rPr/>
      </w:pPr>
      <w:r>
        <w:rPr>
          <w:rFonts w:cs="Arial"/>
          <w:sz w:val="26"/>
          <w:szCs w:val="26"/>
        </w:rPr>
        <w:t>Intime-se. Cumpra-se.</w:t>
      </w:r>
    </w:p>
    <w:p>
      <w:pPr>
        <w:pStyle w:val="Normal"/>
        <w:spacing w:lineRule="exact" w:line="363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</w:r>
    </w:p>
    <w:p>
      <w:pPr>
        <w:pStyle w:val="Normal"/>
        <w:spacing w:lineRule="exact" w:line="363"/>
        <w:jc w:val="both"/>
        <w:rPr/>
      </w:pPr>
      <w:r>
        <w:rPr>
          <w:rFonts w:cs="Arial"/>
          <w:sz w:val="26"/>
          <w:szCs w:val="26"/>
        </w:rPr>
        <w:t>Belo Horizonte, na data da assinatura eletrônica.</w:t>
      </w:r>
    </w:p>
    <w:p>
      <w:pPr>
        <w:pStyle w:val="Identificao"/>
        <w:spacing w:lineRule="exact" w:line="363"/>
        <w:ind w:left="0" w:hanging="0"/>
        <w:rPr>
          <w:rFonts w:ascii="Times New Roman" w:hAnsi="Times New Roman" w:cs="Arial"/>
          <w:szCs w:val="26"/>
        </w:rPr>
      </w:pPr>
      <w:r>
        <w:rPr>
          <w:rFonts w:cs="Arial" w:ascii="Times New Roman" w:hAnsi="Times New Roman"/>
          <w:szCs w:val="26"/>
        </w:rPr>
      </w:r>
    </w:p>
    <w:p>
      <w:pPr>
        <w:pStyle w:val="Identificao"/>
        <w:spacing w:lineRule="exact" w:line="363"/>
        <w:ind w:left="0" w:hanging="0"/>
        <w:rPr>
          <w:rFonts w:cs="Arial"/>
          <w:szCs w:val="26"/>
        </w:rPr>
      </w:pPr>
      <w:r>
        <w:rPr>
          <w:rFonts w:cs="Arial"/>
          <w:szCs w:val="26"/>
        </w:rPr>
      </w:r>
    </w:p>
    <w:p>
      <w:pPr>
        <w:pStyle w:val="Normal"/>
        <w:spacing w:lineRule="exact" w:line="363"/>
        <w:jc w:val="center"/>
        <w:rPr>
          <w:rFonts w:ascii="Arial" w:hAnsi="Arial" w:cs="Arial"/>
        </w:rPr>
      </w:pPr>
      <w:r>
        <w:rPr>
          <w:rFonts w:cs="Arial"/>
          <w:sz w:val="26"/>
          <w:szCs w:val="26"/>
        </w:rPr>
        <w:t xml:space="preserve">Desembargador Federal </w:t>
      </w:r>
      <w:r>
        <w:rPr>
          <w:rFonts w:cs="Arial"/>
          <w:b/>
          <w:bCs/>
          <w:sz w:val="26"/>
          <w:szCs w:val="26"/>
        </w:rPr>
        <w:t xml:space="preserve">EDILSON VITORELLI </w:t>
      </w:r>
    </w:p>
    <w:p>
      <w:pPr>
        <w:pStyle w:val="Normal"/>
        <w:spacing w:lineRule="exact" w:line="363"/>
        <w:jc w:val="center"/>
        <w:rPr/>
      </w:pPr>
      <w:r>
        <w:rPr>
          <w:rFonts w:cs="Arial"/>
          <w:sz w:val="26"/>
          <w:szCs w:val="26"/>
        </w:rPr>
        <w:t>Relator</w:t>
      </w:r>
    </w:p>
    <w:p>
      <w:pPr>
        <w:pStyle w:val="Normal"/>
        <w:spacing w:lineRule="exact" w:line="363"/>
        <w:jc w:val="center"/>
        <w:rPr/>
      </w:pPr>
      <w:r>
        <w:rPr/>
      </w:r>
    </w:p>
    <w:sectPr>
      <w:headerReference w:type="default" r:id="rId2"/>
      <w:headerReference w:type="first" r:id="rId3"/>
      <w:footerReference w:type="default" r:id="rId4"/>
      <w:footerReference w:type="first" r:id="rId5"/>
      <w:type w:val="nextPage"/>
      <w:pgSz w:w="11906" w:h="16838"/>
      <w:pgMar w:left="851" w:right="708" w:header="567" w:top="624" w:footer="567" w:bottom="851" w:gutter="0"/>
      <w:pgNumType w:fmt="decimal"/>
      <w:formProt w:val="false"/>
      <w:titlePg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right" w:pos="9360" w:leader="none"/>
      </w:tabs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right" w:pos="9360" w:leader="none"/>
      </w:tabs>
      <w:rPr>
        <w:rFonts w:ascii="Arial" w:hAnsi="Arial"/>
        <w:sz w:val="13"/>
      </w:rPr>
    </w:pPr>
    <w:r>
      <w:rPr>
        <w:rFonts w:ascii="Arial" w:hAnsi="Arial"/>
        <w:sz w:val="13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before="120" w:after="0"/>
      <w:rPr>
        <w:rFonts w:ascii="Arial" w:hAnsi="Arial"/>
        <w:sz w:val="16"/>
      </w:rPr>
    </w:pPr>
    <w:r>
      <w:rPr>
        <w:rFonts w:ascii="Arial" w:hAnsi="Arial"/>
        <w:sz w:val="16"/>
      </w:rPr>
      <w:t>PODER JUDICIÁRIO</w:t>
    </w:r>
  </w:p>
  <w:p>
    <w:pPr>
      <w:pStyle w:val="Normal"/>
      <w:tabs>
        <w:tab w:val="right" w:pos="9540" w:leader="none"/>
      </w:tabs>
      <w:spacing w:before="0" w:after="120"/>
      <w:rPr/>
    </w:pPr>
    <w:r>
      <w:rPr>
        <w:rFonts w:ascii="Arial" w:hAnsi="Arial"/>
        <w:b/>
        <w:sz w:val="20"/>
      </w:rPr>
      <w:t>TRIBUNAL REGIONAL FEDERAL DA 6ª REGIÃO</w:t>
      <w:tab/>
    </w:r>
    <w:r>
      <w:rPr>
        <w:rFonts w:cs="Arial" w:ascii="Arial" w:hAnsi="Arial"/>
        <w:bCs/>
        <w:sz w:val="16"/>
      </w:rPr>
      <w:t>fls.</w:t>
    </w:r>
    <w:r>
      <w:rPr>
        <w:rFonts w:cs="Arial" w:ascii="Arial" w:hAnsi="Arial"/>
        <w:bCs/>
        <w:sz w:val="16"/>
      </w:rPr>
      <w:fldChar w:fldCharType="begin"/>
    </w:r>
    <w:r>
      <w:instrText> PAGE </w:instrText>
    </w:r>
    <w:r>
      <w:fldChar w:fldCharType="separate"/>
    </w:r>
    <w:r>
      <w:t>5</w:t>
    </w:r>
    <w:r>
      <w:fldChar w:fldCharType="end"/>
    </w:r>
    <w:r>
      <w:rPr>
        <w:rFonts w:cs="Arial" w:ascii="Arial" w:hAnsi="Arial"/>
        <w:bCs/>
        <w:sz w:val="16"/>
      </w:rPr>
      <w:t>/</w:t>
    </w:r>
    <w:r>
      <w:rPr>
        <w:rFonts w:cs="Arial" w:ascii="Arial" w:hAnsi="Arial"/>
        <w:bCs/>
        <w:sz w:val="16"/>
      </w:rPr>
      <w:fldChar w:fldCharType="begin"/>
    </w:r>
    <w:r>
      <w:instrText> NUMPAGES </w:instrText>
    </w:r>
    <w:r>
      <w:fldChar w:fldCharType="separate"/>
    </w:r>
    <w:r>
      <w:t>5</w:t>
    </w:r>
    <w: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before="120" w:after="0"/>
      <w:rPr>
        <w:rFonts w:ascii="Arial" w:hAnsi="Arial"/>
        <w:sz w:val="16"/>
      </w:rPr>
    </w:pPr>
    <w:r>
      <w:rPr>
        <w:rFonts w:ascii="Arial" w:hAnsi="Arial"/>
        <w:sz w:val="16"/>
      </w:rPr>
      <w:t>PODER JUDICIÁRIO</w:t>
    </w:r>
  </w:p>
  <w:p>
    <w:pPr>
      <w:pStyle w:val="Normal"/>
      <w:rPr/>
    </w:pPr>
    <w:r>
      <w:rPr>
        <w:rFonts w:ascii="Arial" w:hAnsi="Arial"/>
        <w:b/>
        <w:sz w:val="20"/>
      </w:rPr>
      <w:t>TRIBUNAL REGIONAL FEDERAL DA 6ª REGIÃO</w:t>
      <w:tab/>
    </w:r>
  </w:p>
</w:hdr>
</file>

<file path=word/settings.xml><?xml version="1.0" encoding="utf-8"?>
<w:settings xmlns:w="http://schemas.openxmlformats.org/wordprocessingml/2006/main">
  <w:zoom w:percent="12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pt-BR" w:eastAsia="pt-B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rgrafoChar" w:customStyle="1">
    <w:name w:val="Parágrafo Char"/>
    <w:link w:val="Pargrafo"/>
    <w:qFormat/>
    <w:rsid w:val="000c4e83"/>
    <w:rPr>
      <w:rFonts w:ascii="Arial" w:hAnsi="Arial"/>
      <w:sz w:val="26"/>
      <w:szCs w:val="24"/>
    </w:rPr>
  </w:style>
  <w:style w:type="character" w:styleId="IdentificaoChar" w:customStyle="1">
    <w:name w:val="Identificação Char"/>
    <w:link w:val="Identificao"/>
    <w:qFormat/>
    <w:rsid w:val="000c4e83"/>
    <w:rPr>
      <w:rFonts w:ascii="Arial" w:hAnsi="Arial"/>
      <w:sz w:val="26"/>
      <w:szCs w:val="24"/>
    </w:rPr>
  </w:style>
  <w:style w:type="character" w:styleId="CentralizarChar" w:customStyle="1">
    <w:name w:val="centralizar Char"/>
    <w:qFormat/>
    <w:rsid w:val="000c4e83"/>
    <w:rPr>
      <w:rFonts w:ascii="Arial" w:hAnsi="Arial"/>
      <w:b/>
      <w:sz w:val="26"/>
      <w:szCs w:val="24"/>
    </w:rPr>
  </w:style>
  <w:style w:type="character" w:styleId="Strong">
    <w:name w:val="Strong"/>
    <w:uiPriority w:val="22"/>
    <w:qFormat/>
    <w:rsid w:val="00c52a97"/>
    <w:rPr>
      <w:b/>
      <w:bCs/>
    </w:rPr>
  </w:style>
  <w:style w:type="character" w:styleId="TranscrioChar" w:customStyle="1">
    <w:name w:val="Transcrição Char"/>
    <w:link w:val="Transcrio"/>
    <w:qFormat/>
    <w:locked/>
    <w:rsid w:val="00583313"/>
    <w:rPr>
      <w:rFonts w:ascii="Arial" w:hAnsi="Arial"/>
      <w:i/>
      <w:sz w:val="26"/>
      <w:szCs w:val="24"/>
    </w:rPr>
  </w:style>
  <w:style w:type="character" w:styleId="EmentaChar" w:customStyle="1">
    <w:name w:val="ementa Char"/>
    <w:basedOn w:val="PargrafoChar"/>
    <w:qFormat/>
    <w:rsid w:val="00583313"/>
    <w:rPr>
      <w:rFonts w:ascii="Arial" w:hAnsi="Arial"/>
      <w:sz w:val="26"/>
      <w:szCs w:val="24"/>
    </w:rPr>
  </w:style>
  <w:style w:type="character" w:styleId="Nfase">
    <w:name w:val="Ênfase"/>
    <w:uiPriority w:val="20"/>
    <w:qFormat/>
    <w:rsid w:val="00e0417c"/>
    <w:rPr>
      <w:i/>
      <w:iCs/>
    </w:rPr>
  </w:style>
  <w:style w:type="character" w:styleId="CorpodetextoChar" w:customStyle="1">
    <w:name w:val="Corpo de texto Char"/>
    <w:link w:val="Corpodetexto"/>
    <w:qFormat/>
    <w:rsid w:val="00a80c4b"/>
    <w:rPr>
      <w:sz w:val="24"/>
      <w:szCs w:val="24"/>
      <w:lang w:val="x-none" w:eastAsia="x-none"/>
    </w:rPr>
  </w:style>
  <w:style w:type="character" w:styleId="Normaltextrun" w:customStyle="1">
    <w:name w:val="normaltextrun"/>
    <w:basedOn w:val="DefaultParagraphFont"/>
    <w:qFormat/>
    <w:rsid w:val="005f1d85"/>
    <w:rPr/>
  </w:style>
  <w:style w:type="character" w:styleId="Eop" w:customStyle="1">
    <w:name w:val="eop"/>
    <w:basedOn w:val="DefaultParagraphFont"/>
    <w:qFormat/>
    <w:rsid w:val="005f1d85"/>
    <w:rPr/>
  </w:style>
  <w:style w:type="character" w:styleId="TextodenotaderodapChar" w:customStyle="1">
    <w:name w:val="Texto de nota de rodapé Char"/>
    <w:link w:val="Textodenotaderodap"/>
    <w:uiPriority w:val="99"/>
    <w:qFormat/>
    <w:rsid w:val="002b3302"/>
    <w:rPr>
      <w:rFonts w:ascii="Calibri" w:hAnsi="Calibri" w:eastAsia="Calibri"/>
      <w:lang w:eastAsia="en-US"/>
    </w:rPr>
  </w:style>
  <w:style w:type="character" w:styleId="Footnotereference">
    <w:name w:val="footnote reference"/>
    <w:uiPriority w:val="99"/>
    <w:unhideWhenUsed/>
    <w:qFormat/>
    <w:rsid w:val="002b3302"/>
    <w:rPr>
      <w:vertAlign w:val="superscript"/>
    </w:rPr>
  </w:style>
  <w:style w:type="character" w:styleId="ListLabel1" w:customStyle="1">
    <w:name w:val="ListLabel 1"/>
    <w:qFormat/>
    <w:rPr>
      <w:color w:val="00000A"/>
    </w:rPr>
  </w:style>
  <w:style w:type="character" w:styleId="ListLabel2" w:customStyle="1">
    <w:name w:val="ListLabel 2"/>
    <w:qFormat/>
    <w:rPr>
      <w:sz w:val="14"/>
    </w:rPr>
  </w:style>
  <w:style w:type="character" w:styleId="Smbolosdenumerao" w:customStyle="1">
    <w:name w:val="Símbolos de numeração"/>
    <w:qFormat/>
    <w:rPr/>
  </w:style>
  <w:style w:type="paragraph" w:styleId="Ttulo">
    <w:name w:val="Título"/>
    <w:basedOn w:val="Normal"/>
    <w:next w:val="Corpode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etexto">
    <w:name w:val="Body Text"/>
    <w:basedOn w:val="Normal"/>
    <w:link w:val="CorpodetextoChar"/>
    <w:rsid w:val="00a80c4b"/>
    <w:pPr>
      <w:spacing w:before="0" w:after="120"/>
    </w:pPr>
    <w:rPr>
      <w:lang w:val="x-none" w:eastAsia="x-none"/>
    </w:rPr>
  </w:style>
  <w:style w:type="paragraph" w:styleId="Lista">
    <w:name w:val="List"/>
    <w:basedOn w:val="Corpode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Mangal"/>
    </w:rPr>
  </w:style>
  <w:style w:type="paragraph" w:styleId="Ttulododocumento">
    <w:name w:val="Title"/>
    <w:basedOn w:val="Normal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styleId="Identificao" w:customStyle="1">
    <w:name w:val="Identificação"/>
    <w:basedOn w:val="Ementa"/>
    <w:link w:val="IdentificaoChar"/>
    <w:qFormat/>
    <w:pPr>
      <w:spacing w:lineRule="auto" w:line="240" w:before="0" w:after="0"/>
    </w:pPr>
    <w:rPr/>
  </w:style>
  <w:style w:type="paragraph" w:styleId="Ementa" w:customStyle="1">
    <w:name w:val="ementa"/>
    <w:basedOn w:val="Pargrafo"/>
    <w:qFormat/>
    <w:pPr>
      <w:ind w:hanging="0"/>
    </w:pPr>
    <w:rPr/>
  </w:style>
  <w:style w:type="paragraph" w:styleId="Pargrafo" w:customStyle="1">
    <w:name w:val="Parágrafo"/>
    <w:basedOn w:val="Normal"/>
    <w:link w:val="PargrafoChar"/>
    <w:qFormat/>
    <w:pPr>
      <w:spacing w:lineRule="auto" w:line="360" w:before="360" w:after="360"/>
      <w:ind w:left="170" w:firstLine="1418"/>
      <w:jc w:val="both"/>
    </w:pPr>
    <w:rPr>
      <w:rFonts w:ascii="Arial" w:hAnsi="Arial"/>
      <w:sz w:val="26"/>
    </w:rPr>
  </w:style>
  <w:style w:type="paragraph" w:styleId="Centralizar" w:customStyle="1">
    <w:name w:val="centralizar"/>
    <w:basedOn w:val="Pargrafo"/>
    <w:qFormat/>
    <w:pPr>
      <w:ind w:left="170" w:hanging="0"/>
      <w:jc w:val="center"/>
    </w:pPr>
    <w:rPr>
      <w:b/>
    </w:rPr>
  </w:style>
  <w:style w:type="paragraph" w:styleId="Transcrio" w:customStyle="1">
    <w:name w:val="Transcrição"/>
    <w:basedOn w:val="Pargrafo"/>
    <w:link w:val="TranscrioChar"/>
    <w:qFormat/>
    <w:pPr>
      <w:spacing w:lineRule="auto" w:line="240" w:before="60" w:after="60"/>
      <w:ind w:left="2268" w:hanging="0"/>
    </w:pPr>
    <w:rPr>
      <w:i/>
      <w:lang w:val="x-none" w:eastAsia="x-none"/>
    </w:rPr>
  </w:style>
  <w:style w:type="paragraph" w:styleId="Cabealho">
    <w:name w:val="Header"/>
    <w:basedOn w:val="Normal"/>
    <w:pPr>
      <w:tabs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pPr>
      <w:tabs>
        <w:tab w:val="center" w:pos="4419" w:leader="none"/>
        <w:tab w:val="right" w:pos="8838" w:leader="none"/>
      </w:tabs>
    </w:pPr>
    <w:rPr/>
  </w:style>
  <w:style w:type="paragraph" w:styleId="TEXTO" w:customStyle="1">
    <w:name w:val="TEXTO"/>
    <w:basedOn w:val="Normal"/>
    <w:qFormat/>
    <w:pPr>
      <w:spacing w:before="0" w:afterAutospacing="1"/>
      <w:ind w:left="284" w:hanging="0"/>
      <w:jc w:val="both"/>
    </w:pPr>
    <w:rPr>
      <w:rFonts w:ascii="Arial" w:hAnsi="Arial"/>
      <w:sz w:val="19"/>
      <w:szCs w:val="19"/>
    </w:rPr>
  </w:style>
  <w:style w:type="paragraph" w:styleId="Transcrio2" w:customStyle="1">
    <w:name w:val="transcrição 2"/>
    <w:basedOn w:val="Transcrio"/>
    <w:qFormat/>
    <w:pPr>
      <w:ind w:left="2835" w:hanging="0"/>
    </w:pPr>
    <w:rPr/>
  </w:style>
  <w:style w:type="paragraph" w:styleId="Transcrio3" w:customStyle="1">
    <w:name w:val="transcrição 3"/>
    <w:basedOn w:val="Identificao"/>
    <w:qFormat/>
    <w:pPr>
      <w:ind w:left="3686" w:hanging="0"/>
    </w:pPr>
    <w:rPr>
      <w:i/>
      <w:iCs/>
    </w:rPr>
  </w:style>
  <w:style w:type="paragraph" w:styleId="Transcrio4" w:customStyle="1">
    <w:name w:val="transcrição 4"/>
    <w:basedOn w:val="Transcrio3"/>
    <w:qFormat/>
    <w:pPr>
      <w:ind w:left="4536" w:hanging="0"/>
    </w:pPr>
    <w:rPr/>
  </w:style>
  <w:style w:type="paragraph" w:styleId="Recuo" w:customStyle="1">
    <w:name w:val="recuo"/>
    <w:basedOn w:val="Pargrafo"/>
    <w:qFormat/>
    <w:pPr>
      <w:spacing w:before="240" w:after="240"/>
      <w:ind w:left="3686" w:hanging="0"/>
    </w:pPr>
    <w:rPr/>
  </w:style>
  <w:style w:type="paragraph" w:styleId="Assinatura" w:customStyle="1">
    <w:name w:val="assinatura"/>
    <w:basedOn w:val="Pargrafo"/>
    <w:qFormat/>
    <w:pPr>
      <w:spacing w:before="0" w:after="0"/>
      <w:ind w:left="170" w:hanging="0"/>
      <w:jc w:val="center"/>
    </w:pPr>
    <w:rPr/>
  </w:style>
  <w:style w:type="paragraph" w:styleId="TEXTODICAS" w:customStyle="1">
    <w:name w:val="TEXTO DICAS"/>
    <w:basedOn w:val="Normal"/>
    <w:qFormat/>
    <w:pPr>
      <w:spacing w:before="60" w:afterAutospacing="1"/>
      <w:jc w:val="both"/>
    </w:pPr>
    <w:rPr>
      <w:rFonts w:ascii="Arial" w:hAnsi="Arial"/>
      <w:sz w:val="19"/>
      <w:szCs w:val="19"/>
    </w:rPr>
  </w:style>
  <w:style w:type="paragraph" w:styleId="Passodica" w:customStyle="1">
    <w:name w:val="passo dica"/>
    <w:basedOn w:val="TEXTODICAS"/>
    <w:qFormat/>
    <w:pPr>
      <w:tabs>
        <w:tab w:val="left" w:pos="360" w:leader="none"/>
      </w:tabs>
      <w:spacing w:before="0" w:after="280"/>
    </w:pPr>
    <w:rPr/>
  </w:style>
  <w:style w:type="paragraph" w:styleId="Pargrafo2" w:customStyle="1">
    <w:name w:val="Parágrafo 2"/>
    <w:basedOn w:val="Pargrafo"/>
    <w:qFormat/>
    <w:pPr>
      <w:spacing w:lineRule="auto" w:line="480"/>
    </w:pPr>
    <w:rPr/>
  </w:style>
  <w:style w:type="paragraph" w:styleId="Tpico1" w:customStyle="1">
    <w:name w:val="tópico 1"/>
    <w:basedOn w:val="Normal"/>
    <w:qFormat/>
    <w:pPr>
      <w:spacing w:before="360" w:after="0"/>
      <w:jc w:val="both"/>
    </w:pPr>
    <w:rPr>
      <w:rFonts w:ascii="Tahoma" w:hAnsi="Tahoma"/>
      <w:b/>
      <w:bCs/>
      <w:caps/>
    </w:rPr>
  </w:style>
  <w:style w:type="paragraph" w:styleId="Tpico2" w:customStyle="1">
    <w:name w:val="tópico 2"/>
    <w:basedOn w:val="Normal"/>
    <w:qFormat/>
    <w:pPr>
      <w:spacing w:before="240" w:after="120"/>
      <w:jc w:val="both"/>
    </w:pPr>
    <w:rPr>
      <w:rFonts w:ascii="Tahoma" w:hAnsi="Tahoma"/>
      <w:caps/>
    </w:rPr>
  </w:style>
  <w:style w:type="paragraph" w:styleId="Subtpico" w:customStyle="1">
    <w:name w:val="subtópico"/>
    <w:basedOn w:val="Normal"/>
    <w:qFormat/>
    <w:pPr>
      <w:spacing w:before="60" w:after="0"/>
      <w:jc w:val="both"/>
    </w:pPr>
    <w:rPr>
      <w:rFonts w:ascii="Tahoma" w:hAnsi="Tahoma"/>
    </w:rPr>
  </w:style>
  <w:style w:type="paragraph" w:styleId="Bulet" w:customStyle="1">
    <w:name w:val="bulet"/>
    <w:basedOn w:val="Normal"/>
    <w:qFormat/>
    <w:pPr>
      <w:tabs>
        <w:tab w:val="left" w:pos="2520" w:leader="none"/>
      </w:tabs>
      <w:spacing w:before="60" w:after="0"/>
      <w:jc w:val="both"/>
    </w:pPr>
    <w:rPr>
      <w:rFonts w:ascii="Tahoma" w:hAnsi="Tahoma"/>
    </w:rPr>
  </w:style>
  <w:style w:type="paragraph" w:styleId="Subbulet" w:customStyle="1">
    <w:name w:val="sub bulet"/>
    <w:basedOn w:val="Bulet"/>
    <w:qFormat/>
    <w:pPr>
      <w:tabs>
        <w:tab w:val="left" w:pos="3780" w:leader="none"/>
        <w:tab w:val="left" w:pos="4380" w:leader="none"/>
      </w:tabs>
      <w:ind w:left="3780" w:hanging="378"/>
    </w:pPr>
    <w:rPr/>
  </w:style>
  <w:style w:type="paragraph" w:styleId="NormalWeb">
    <w:name w:val="Normal (Web)"/>
    <w:basedOn w:val="Normal"/>
    <w:uiPriority w:val="99"/>
    <w:unhideWhenUsed/>
    <w:qFormat/>
    <w:rsid w:val="00c52a97"/>
    <w:pPr>
      <w:spacing w:beforeAutospacing="1" w:afterAutospacing="1"/>
    </w:pPr>
    <w:rPr/>
  </w:style>
  <w:style w:type="paragraph" w:styleId="Identificao1" w:customStyle="1">
    <w:name w:val="identificao"/>
    <w:basedOn w:val="Normal"/>
    <w:qFormat/>
    <w:rsid w:val="00c52a97"/>
    <w:pPr>
      <w:spacing w:beforeAutospacing="1" w:afterAutospacing="1"/>
    </w:pPr>
    <w:rPr/>
  </w:style>
  <w:style w:type="paragraph" w:styleId="Boldsmaller" w:customStyle="1">
    <w:name w:val="bold-smaller"/>
    <w:basedOn w:val="Normal"/>
    <w:qFormat/>
    <w:rsid w:val="00e0417c"/>
    <w:pPr>
      <w:spacing w:beforeAutospacing="1" w:afterAutospacing="1"/>
    </w:pPr>
    <w:rPr/>
  </w:style>
  <w:style w:type="paragraph" w:styleId="Incio" w:customStyle="1">
    <w:name w:val="início"/>
    <w:basedOn w:val="Normal"/>
    <w:next w:val="Normal"/>
    <w:qFormat/>
    <w:rsid w:val="00a80c4b"/>
    <w:pPr>
      <w:spacing w:before="840" w:after="60"/>
    </w:pPr>
    <w:rPr>
      <w:rFonts w:ascii="Arial" w:hAnsi="Arial" w:cs="Arial"/>
    </w:rPr>
  </w:style>
  <w:style w:type="paragraph" w:styleId="Xpargrafo" w:customStyle="1">
    <w:name w:val="x_pargrafo"/>
    <w:basedOn w:val="Normal"/>
    <w:qFormat/>
    <w:rsid w:val="00a80c4b"/>
    <w:pPr>
      <w:spacing w:beforeAutospacing="1" w:afterAutospacing="1"/>
    </w:pPr>
    <w:rPr/>
  </w:style>
  <w:style w:type="paragraph" w:styleId="Xtranscrio" w:customStyle="1">
    <w:name w:val="x_transcrio"/>
    <w:basedOn w:val="Normal"/>
    <w:qFormat/>
    <w:rsid w:val="00a80c4b"/>
    <w:pPr>
      <w:spacing w:beforeAutospacing="1" w:afterAutospacing="1"/>
    </w:pPr>
    <w:rPr/>
  </w:style>
  <w:style w:type="paragraph" w:styleId="Paragraph" w:customStyle="1">
    <w:name w:val="paragraph"/>
    <w:basedOn w:val="Normal"/>
    <w:qFormat/>
    <w:rsid w:val="005f1d85"/>
    <w:pPr>
      <w:spacing w:beforeAutospacing="1" w:afterAutospacing="1"/>
    </w:pPr>
    <w:rPr/>
  </w:style>
  <w:style w:type="paragraph" w:styleId="Footnotetext">
    <w:name w:val="footnote text"/>
    <w:basedOn w:val="Normal"/>
    <w:link w:val="TextodenotaderodapChar"/>
    <w:uiPriority w:val="99"/>
    <w:unhideWhenUsed/>
    <w:qFormat/>
    <w:rsid w:val="002b3302"/>
    <w:pPr>
      <w:spacing w:lineRule="auto" w:line="276" w:before="0" w:after="200"/>
    </w:pPr>
    <w:rPr>
      <w:rFonts w:ascii="Calibri" w:hAnsi="Calibri" w:eastAsia="Calibri"/>
      <w:sz w:val="20"/>
      <w:szCs w:val="20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Application>LibreOffice/5.3.7.2$Windows_x86 LibreOffice_project/6b8ed514a9f8b44d37a1b96673cbbdd077e24059</Application>
  <Pages>5</Pages>
  <Words>1568</Words>
  <Characters>8720</Characters>
  <CharactersWithSpaces>10262</CharactersWithSpaces>
  <Paragraphs>41</Paragraphs>
  <Company>trf1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2023-04-12T14:47:00Z</dcterms:created>
  <dc:creator>TR86003</dc:creator>
  <dc:description/>
  <dc:language>pt-BR</dc:language>
  <cp:lastModifiedBy>Justiça Federal de 1º Grau em MG</cp:lastModifiedBy>
  <cp:lastPrinted>2021-04-27T23:14:00Z</cp:lastPrinted>
  <dcterms:modified xsi:type="dcterms:W3CDTF">2023-04-17T17:52:19Z</dcterms:modified>
  <cp:revision>6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trf1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